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ackground w:color="FFFFFF"/>
  <w:body>
    <w:tbl>
      <w:tblPr>
        <w:tblW w:w="8856"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2627"/>
        <w:gridCol w:w="2685"/>
        <w:gridCol w:w="3544"/>
      </w:tblGrid>
      <w:tr>
        <w:tblPrEx>
          <w:shd w:val="clear" w:color="auto" w:fill="ced7e7"/>
        </w:tblPrEx>
        <w:trPr>
          <w:trHeight w:val="6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pPr>
            <w:r>
              <w:rPr>
                <w:b w:val="1"/>
                <w:bCs w:val="1"/>
                <w:rtl w:val="0"/>
                <w:lang w:val="en-US"/>
              </w:rPr>
              <w:t xml:space="preserve">Course title: </w:t>
            </w:r>
            <w:r>
              <w:rPr>
                <w:rtl w:val="0"/>
                <w:lang w:val="en-US"/>
              </w:rPr>
              <w:t>Biological and clinical aspects of musculosceletal reconstructive surgery (</w:t>
            </w:r>
            <w:r>
              <w:rPr>
                <w:b w:val="1"/>
                <w:bCs w:val="1"/>
                <w:rtl w:val="0"/>
                <w:lang w:val="ru-RU"/>
              </w:rPr>
              <w:t>RSurg</w:t>
            </w:r>
            <w:r>
              <w:rPr>
                <w:b w:val="1"/>
                <w:bCs w:val="1"/>
                <w:rtl w:val="0"/>
                <w:lang w:val="en-US"/>
              </w:rPr>
              <w:t>_</w:t>
            </w:r>
            <w:r>
              <w:rPr>
                <w:b w:val="1"/>
                <w:bCs w:val="1"/>
                <w:rtl w:val="0"/>
                <w:lang w:val="en-US"/>
              </w:rPr>
              <w:t>е</w:t>
            </w:r>
            <w:r>
              <w:rPr>
                <w:b w:val="1"/>
                <w:bCs w:val="1"/>
                <w:rtl w:val="0"/>
                <w:lang w:val="en-US"/>
              </w:rPr>
              <w:t>03</w:t>
            </w:r>
            <w:r>
              <w:rPr>
                <w:rtl w:val="0"/>
                <w:lang w:val="en-US"/>
              </w:rPr>
              <w:t>)</w:t>
            </w:r>
          </w:p>
        </w:tc>
      </w:tr>
      <w:tr>
        <w:tblPrEx>
          <w:shd w:val="clear" w:color="auto" w:fill="ced7e7"/>
        </w:tblPrEx>
        <w:trPr>
          <w:trHeight w:val="6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pPr>
            <w:r>
              <w:rPr>
                <w:b w:val="1"/>
                <w:bCs w:val="1"/>
                <w:rtl w:val="0"/>
                <w:lang w:val="en-US"/>
              </w:rPr>
              <w:t xml:space="preserve">Lecturers: </w:t>
            </w:r>
            <w:r>
              <w:rPr>
                <w:rtl w:val="0"/>
                <w:lang w:val="en-US"/>
              </w:rPr>
              <w:t>Prof. Dr Goran Tulic, Prof. Dr Aleksandar Lesic, Prof. Dr Zoran Bascarevic, Prof. Dr Marko Kadija</w:t>
            </w:r>
          </w:p>
        </w:tc>
      </w:tr>
      <w:tr>
        <w:tblPrEx>
          <w:shd w:val="clear" w:color="auto" w:fill="ced7e7"/>
        </w:tblPrEx>
        <w:trPr>
          <w:trHeight w:val="3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pPr>
            <w:r>
              <w:rPr>
                <w:b w:val="1"/>
                <w:bCs w:val="1"/>
                <w:rtl w:val="0"/>
                <w:lang w:val="en-US"/>
              </w:rPr>
              <w:t xml:space="preserve">Course status: </w:t>
            </w:r>
            <w:r>
              <w:rPr>
                <w:rtl w:val="0"/>
                <w:lang w:val="en-US"/>
              </w:rPr>
              <w:t>Elective course - Reconstructive Surgery</w:t>
            </w:r>
          </w:p>
        </w:tc>
      </w:tr>
      <w:tr>
        <w:tblPrEx>
          <w:shd w:val="clear" w:color="auto" w:fill="ced7e7"/>
        </w:tblPrEx>
        <w:trPr>
          <w:trHeight w:val="3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pPr>
            <w:r>
              <w:rPr>
                <w:rtl w:val="0"/>
                <w:lang w:val="en-US"/>
              </w:rPr>
              <w:t>Number</w:t>
            </w:r>
            <w:r>
              <w:rPr>
                <w:b w:val="1"/>
                <w:bCs w:val="1"/>
                <w:rtl w:val="0"/>
                <w:lang w:val="en-US"/>
              </w:rPr>
              <w:t xml:space="preserve"> Е</w:t>
            </w:r>
            <w:r>
              <w:rPr>
                <w:b w:val="1"/>
                <w:bCs w:val="1"/>
                <w:rtl w:val="0"/>
                <w:lang w:val="en-US"/>
              </w:rPr>
              <w:t>SPB</w:t>
            </w:r>
            <w:r>
              <w:rPr>
                <w:b w:val="1"/>
                <w:bCs w:val="1"/>
                <w:rtl w:val="0"/>
                <w:lang w:val="ru-RU"/>
              </w:rPr>
              <w:t>: 5</w:t>
            </w:r>
          </w:p>
        </w:tc>
      </w:tr>
      <w:tr>
        <w:tblPrEx>
          <w:shd w:val="clear" w:color="auto" w:fill="ced7e7"/>
        </w:tblPrEx>
        <w:trPr>
          <w:trHeight w:val="3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pPr>
            <w:r>
              <w:rPr>
                <w:b w:val="1"/>
                <w:bCs w:val="1"/>
                <w:rtl w:val="0"/>
                <w:lang w:val="en-US"/>
              </w:rPr>
              <w:t xml:space="preserve">Requirements: </w:t>
            </w:r>
            <w:r>
              <w:rPr>
                <w:rtl w:val="0"/>
                <w:lang w:val="en-US"/>
              </w:rPr>
              <w:t xml:space="preserve">All </w:t>
            </w:r>
            <w:r>
              <w:rPr>
                <w:rtl w:val="0"/>
                <w:lang w:val="ru-RU"/>
              </w:rPr>
              <w:t>reconstructive surgery general subjects f</w:t>
            </w:r>
            <w:r>
              <w:rPr>
                <w:rtl w:val="0"/>
                <w:lang w:val="en-US"/>
              </w:rPr>
              <w:t>inalised and passed</w:t>
            </w:r>
          </w:p>
        </w:tc>
      </w:tr>
      <w:tr>
        <w:tblPrEx>
          <w:shd w:val="clear" w:color="auto" w:fill="ced7e7"/>
        </w:tblPrEx>
        <w:trPr>
          <w:trHeight w:val="6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pPr>
            <w:r>
              <w:rPr>
                <w:b w:val="1"/>
                <w:bCs w:val="1"/>
                <w:rtl w:val="0"/>
                <w:lang w:val="en-US"/>
              </w:rPr>
              <w:t xml:space="preserve">Course aim:  </w:t>
            </w:r>
            <w:r>
              <w:rPr>
                <w:rtl w:val="0"/>
                <w:lang w:val="en-US"/>
              </w:rPr>
              <w:t>Acquiring contemporary knowledge in biological and clinical aspects  of musculoskeletal reconstructive surgery</w:t>
            </w:r>
          </w:p>
        </w:tc>
      </w:tr>
      <w:tr>
        <w:tblPrEx>
          <w:shd w:val="clear" w:color="auto" w:fill="ced7e7"/>
        </w:tblPrEx>
        <w:trPr>
          <w:trHeight w:val="15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pPr>
            <w:r>
              <w:rPr>
                <w:b w:val="1"/>
                <w:bCs w:val="1"/>
                <w:rtl w:val="0"/>
                <w:lang w:val="en-US"/>
              </w:rPr>
              <w:t xml:space="preserve">Course outcome: </w:t>
            </w:r>
            <w:r>
              <w:rPr>
                <w:rtl w:val="0"/>
                <w:lang w:val="en-US"/>
              </w:rPr>
              <w:t xml:space="preserve">Students will acquire contemporary knowledge of biological and clinical aspects of musculoskeletal diseases, conditions and injuries, along with  modern and advanced concepts of diagnostic and therapeutical approaches in reconstructive musculoskeletal surgery.  </w:t>
            </w:r>
          </w:p>
        </w:tc>
      </w:tr>
      <w:tr>
        <w:tblPrEx>
          <w:shd w:val="clear" w:color="auto" w:fill="ced7e7"/>
        </w:tblPrEx>
        <w:trPr>
          <w:trHeight w:val="300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both"/>
              <w:rPr>
                <w:b w:val="1"/>
                <w:bCs w:val="1"/>
                <w:lang w:val="en-US"/>
              </w:rPr>
            </w:pPr>
            <w:r>
              <w:rPr>
                <w:b w:val="1"/>
                <w:bCs w:val="1"/>
                <w:rtl w:val="0"/>
                <w:lang w:val="en-US"/>
              </w:rPr>
              <w:t xml:space="preserve">Course content: </w:t>
            </w:r>
            <w:r>
              <w:rPr>
                <w:rtl w:val="0"/>
                <w:lang w:val="en-US"/>
              </w:rPr>
              <w:t>Biological basis of bone and chondral reparation and regeneration; The importance of biomechanics in reconstructive musculoskeletal surgery; Modern aspects of bone and cartilage transplantation; Modern technologies and implants in orthopaedic surgery; Contemporary diagnostics in musculoskeletal surgery; Modern concepts in fracture surgery; Surgical treatment of bone and cartilage defects; Arthroplasty of the major joints-state of the art; Modern treatment of complications in musculoskeletal surgery; Orthobiologics and regenerative medicine in treatment of musculoskeletal diseases, conditions and injuries.</w:t>
            </w:r>
          </w:p>
          <w:p>
            <w:pPr>
              <w:pStyle w:val="Normal.0"/>
              <w:jc w:val="both"/>
              <w:rPr>
                <w:b w:val="1"/>
                <w:bCs w:val="1"/>
                <w:lang w:val="en-US"/>
              </w:rPr>
            </w:pPr>
          </w:p>
          <w:p>
            <w:pPr>
              <w:pStyle w:val="Normal.0"/>
              <w:jc w:val="both"/>
            </w:pPr>
            <w:r>
              <w:rPr>
                <w:b w:val="1"/>
                <w:bCs w:val="1"/>
                <w:rtl w:val="0"/>
              </w:rPr>
              <w:t xml:space="preserve"> </w:t>
            </w:r>
            <w:r>
              <w:rPr>
                <w:rtl w:val="0"/>
              </w:rPr>
              <w:t>Б</w:t>
            </w:r>
          </w:p>
        </w:tc>
      </w:tr>
      <w:tr>
        <w:tblPrEx>
          <w:shd w:val="clear" w:color="auto" w:fill="ced7e7"/>
        </w:tblPrEx>
        <w:trPr>
          <w:trHeight w:val="39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b w:val="1"/>
                <w:bCs w:val="1"/>
              </w:rPr>
            </w:pPr>
            <w:r>
              <w:rPr>
                <w:b w:val="1"/>
                <w:bCs w:val="1"/>
                <w:rtl w:val="0"/>
                <w:lang w:val="en-US"/>
              </w:rPr>
              <w:t xml:space="preserve">Recommended literature: </w:t>
            </w:r>
          </w:p>
          <w:p>
            <w:pPr>
              <w:pStyle w:val="List Paragraph"/>
              <w:numPr>
                <w:ilvl w:val="0"/>
                <w:numId w:val="1"/>
              </w:numPr>
              <w:bidi w:val="0"/>
              <w:ind w:right="0"/>
              <w:jc w:val="left"/>
              <w:rPr>
                <w:rtl w:val="0"/>
                <w:lang w:val="en-US"/>
              </w:rPr>
            </w:pPr>
            <w:r>
              <w:rPr>
                <w:rtl w:val="0"/>
                <w:lang w:val="en-US"/>
              </w:rPr>
              <w:t>Mercer</w:t>
            </w:r>
            <w:r>
              <w:rPr>
                <w:rtl w:val="0"/>
                <w:lang w:val="en-US"/>
              </w:rPr>
              <w:t>’</w:t>
            </w:r>
            <w:r>
              <w:rPr>
                <w:rtl w:val="0"/>
                <w:lang w:val="en-US"/>
              </w:rPr>
              <w:t xml:space="preserve">s Textbook of orthopaedics and trauma, </w:t>
            </w:r>
            <w:r>
              <w:rPr>
                <w:color w:val="202528"/>
                <w:u w:color="202528"/>
                <w:rtl w:val="0"/>
                <w:lang w:val="en-US"/>
              </w:rPr>
              <w:t>Eds. Suresh Sivananthan, Eugene Sherry, Patrick Warnke, Mark D. Miller,Tenth Ed. CRC press, 2012</w:t>
            </w:r>
          </w:p>
          <w:p>
            <w:pPr>
              <w:pStyle w:val="List Paragraph"/>
              <w:numPr>
                <w:ilvl w:val="0"/>
                <w:numId w:val="1"/>
              </w:numPr>
              <w:bidi w:val="0"/>
              <w:ind w:right="0"/>
              <w:jc w:val="left"/>
              <w:rPr>
                <w:rtl w:val="0"/>
                <w:lang w:val="en-US"/>
              </w:rPr>
            </w:pPr>
            <w:r>
              <w:rPr>
                <w:rtl w:val="0"/>
                <w:lang w:val="en-US"/>
              </w:rPr>
              <w:t>Rockwood and Green's Fractures in Adults, Eds: R.W.Bucholz, J.D.Heckman, C.Court-Brown, 8th ed., LWW, Philadelphia, 2015</w:t>
            </w:r>
          </w:p>
          <w:p>
            <w:pPr>
              <w:pStyle w:val="Normal.0"/>
              <w:numPr>
                <w:ilvl w:val="0"/>
                <w:numId w:val="3"/>
              </w:numPr>
              <w:bidi w:val="0"/>
              <w:ind w:right="0"/>
              <w:jc w:val="both"/>
              <w:rPr>
                <w:rtl w:val="0"/>
                <w:lang w:val="en-US"/>
              </w:rPr>
            </w:pPr>
            <w:r>
              <w:rPr>
                <w:rtl w:val="0"/>
                <w:lang w:val="en-US"/>
              </w:rPr>
              <w:t>Campbell</w:t>
            </w:r>
            <w:r>
              <w:rPr>
                <w:rtl w:val="0"/>
                <w:lang w:val="en-US"/>
              </w:rPr>
              <w:t>’</w:t>
            </w:r>
            <w:r>
              <w:rPr>
                <w:rtl w:val="0"/>
                <w:lang w:val="en-US"/>
              </w:rPr>
              <w:t>s Operative Orthopedics, Eds: F.M. Azar, T.Canale, J.H.Beaty, Mosby/Elsevier 14th ed., 2020</w:t>
            </w:r>
          </w:p>
          <w:p>
            <w:pPr>
              <w:pStyle w:val="List Paragraph"/>
              <w:numPr>
                <w:ilvl w:val="0"/>
                <w:numId w:val="2"/>
              </w:numPr>
              <w:bidi w:val="0"/>
              <w:ind w:right="0"/>
              <w:jc w:val="left"/>
              <w:rPr>
                <w:rtl w:val="0"/>
                <w:lang w:val="en-US"/>
              </w:rPr>
            </w:pPr>
            <w:r>
              <w:rPr>
                <w:rtl w:val="0"/>
                <w:lang w:val="en-US"/>
              </w:rPr>
              <w:t>Master Techniques in orthopaedic surgery, Kindle edition (2011-2021)</w:t>
            </w:r>
          </w:p>
          <w:p>
            <w:pPr>
              <w:pStyle w:val="List Paragraph"/>
              <w:numPr>
                <w:ilvl w:val="0"/>
                <w:numId w:val="2"/>
              </w:numPr>
              <w:bidi w:val="0"/>
              <w:ind w:right="0"/>
              <w:jc w:val="left"/>
              <w:rPr>
                <w:rtl w:val="0"/>
                <w:lang w:val="en-US"/>
              </w:rPr>
            </w:pPr>
            <w:r>
              <w:rPr>
                <w:rtl w:val="0"/>
                <w:lang w:val="en-US"/>
              </w:rPr>
              <w:t xml:space="preserve">Journals, on-line sources etc. </w:t>
            </w:r>
          </w:p>
          <w:p>
            <w:pPr>
              <w:pStyle w:val="Normal.0"/>
              <w:rPr>
                <w:b w:val="1"/>
                <w:bCs w:val="1"/>
                <w:lang w:val="en-US"/>
              </w:rPr>
            </w:pPr>
          </w:p>
          <w:p>
            <w:pPr>
              <w:pStyle w:val="Normal.0"/>
            </w:pPr>
            <w:r>
              <w:rPr>
                <w:b w:val="1"/>
                <w:bCs w:val="1"/>
                <w:lang w:val="en-US"/>
              </w:rPr>
            </w:r>
          </w:p>
        </w:tc>
      </w:tr>
      <w:tr>
        <w:tblPrEx>
          <w:shd w:val="clear" w:color="auto" w:fill="ced7e7"/>
        </w:tblPrEx>
        <w:trPr>
          <w:trHeight w:val="610" w:hRule="atLeast"/>
        </w:trPr>
        <w:tc>
          <w:tcPr>
            <w:tcW w:type="dxa" w:w="262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pPr>
            <w:r>
              <w:rPr>
                <w:rtl w:val="0"/>
                <w:lang w:val="en-US"/>
              </w:rPr>
              <w:t>Number of active lessons:      2</w:t>
            </w:r>
          </w:p>
        </w:tc>
        <w:tc>
          <w:tcPr>
            <w:tcW w:type="dxa" w:w="268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pPr>
            <w:r>
              <w:rPr>
                <w:rtl w:val="0"/>
                <w:lang w:val="en-US"/>
              </w:rPr>
              <w:t>Lectures: 2</w:t>
            </w:r>
          </w:p>
        </w:tc>
        <w:tc>
          <w:tcPr>
            <w:tcW w:type="dxa" w:w="354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pPr>
            <w:r>
              <w:rPr>
                <w:rtl w:val="0"/>
                <w:lang w:val="en-US"/>
              </w:rPr>
              <w:t>Research work</w:t>
            </w:r>
            <w:r>
              <w:rPr>
                <w:rtl w:val="0"/>
                <w:lang w:val="ru-RU"/>
              </w:rPr>
              <w:t>: optional</w:t>
            </w:r>
          </w:p>
        </w:tc>
      </w:tr>
      <w:tr>
        <w:tblPrEx>
          <w:shd w:val="clear" w:color="auto" w:fill="ced7e7"/>
        </w:tblPrEx>
        <w:trPr>
          <w:trHeight w:val="9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rPr>
                <w:b w:val="1"/>
                <w:bCs w:val="1"/>
              </w:rPr>
            </w:pPr>
            <w:r>
              <w:rPr>
                <w:b w:val="1"/>
                <w:bCs w:val="1"/>
                <w:rtl w:val="0"/>
                <w:lang w:val="en-US"/>
              </w:rPr>
              <w:t>Teaching methods:</w:t>
            </w:r>
          </w:p>
          <w:p>
            <w:pPr>
              <w:pStyle w:val="Normal.0"/>
              <w:bidi w:val="0"/>
              <w:ind w:left="0" w:right="0" w:firstLine="0"/>
              <w:jc w:val="left"/>
              <w:rPr>
                <w:rtl w:val="0"/>
              </w:rPr>
            </w:pPr>
            <w:r>
              <w:rPr>
                <w:rtl w:val="0"/>
                <w:lang w:val="en-US"/>
              </w:rPr>
              <w:t>Lectures, active lessons, seminars, on line consultations</w:t>
            </w:r>
          </w:p>
        </w:tc>
      </w:tr>
      <w:tr>
        <w:tblPrEx>
          <w:shd w:val="clear" w:color="auto" w:fill="ced7e7"/>
        </w:tblPrEx>
        <w:trPr>
          <w:trHeight w:val="9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jc w:val="center"/>
              <w:rPr>
                <w:b w:val="1"/>
                <w:bCs w:val="1"/>
              </w:rPr>
            </w:pPr>
            <w:r>
              <w:rPr>
                <w:b w:val="1"/>
                <w:bCs w:val="1"/>
                <w:rtl w:val="0"/>
                <w:lang w:val="en-US"/>
              </w:rPr>
              <w:t>Knowledge assessment (m</w:t>
            </w:r>
            <w:r>
              <w:rPr>
                <w:b w:val="1"/>
                <w:bCs w:val="1"/>
                <w:rtl w:val="0"/>
                <w:lang w:val="en-US"/>
              </w:rPr>
              <w:t>а</w:t>
            </w:r>
            <w:r>
              <w:rPr>
                <w:b w:val="1"/>
                <w:bCs w:val="1"/>
                <w:rtl w:val="0"/>
                <w:lang w:val="en-US"/>
              </w:rPr>
              <w:t>x number of points - 100)</w:t>
            </w:r>
          </w:p>
          <w:p>
            <w:pPr>
              <w:pStyle w:val="Normal.0"/>
              <w:bidi w:val="0"/>
              <w:ind w:left="0" w:right="0" w:firstLine="0"/>
              <w:jc w:val="left"/>
              <w:rPr>
                <w:rtl w:val="0"/>
              </w:rPr>
            </w:pPr>
            <w:r>
              <w:rPr>
                <w:rtl w:val="0"/>
                <w:lang w:val="en-US"/>
              </w:rPr>
              <w:t>1. Seminars, projects - conduction, preparation and presentation (40)</w:t>
            </w:r>
          </w:p>
          <w:p>
            <w:pPr>
              <w:pStyle w:val="Normal.0"/>
              <w:bidi w:val="0"/>
              <w:ind w:left="0" w:right="0" w:firstLine="0"/>
              <w:jc w:val="left"/>
              <w:rPr>
                <w:rtl w:val="0"/>
              </w:rPr>
            </w:pPr>
            <w:r>
              <w:rPr>
                <w:rtl w:val="0"/>
                <w:lang w:val="en-US"/>
              </w:rPr>
              <w:t>2. Final exam (60)</w:t>
            </w:r>
          </w:p>
        </w:tc>
      </w:tr>
      <w:tr>
        <w:tblPrEx>
          <w:shd w:val="clear" w:color="auto" w:fill="ced7e7"/>
        </w:tblPrEx>
        <w:trPr>
          <w:trHeight w:val="30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r>
        <w:tblPrEx>
          <w:shd w:val="clear" w:color="auto" w:fill="ced7e7"/>
        </w:tblPrEx>
        <w:trPr>
          <w:trHeight w:val="310" w:hRule="atLeast"/>
        </w:trPr>
        <w:tc>
          <w:tcPr>
            <w:tcW w:type="dxa" w:w="8856"/>
            <w:gridSpan w:val="3"/>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tc>
      </w:tr>
    </w:tbl>
    <w:p>
      <w:pPr>
        <w:pStyle w:val="Normal.0"/>
        <w:widowControl w:val="0"/>
        <w:ind w:left="108" w:hanging="108"/>
      </w:pPr>
      <w:r/>
    </w:p>
    <w:sectPr>
      <w:headerReference w:type="default" r:id="rId4"/>
      <w:footerReference w:type="default" r:id="rId5"/>
      <w:pgSz w:w="12240" w:h="15840" w:orient="portrait"/>
      <w:pgMar w:top="1440" w:right="1800" w:bottom="1440" w:left="180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multiLevelType w:val="hybridMultilevel"/>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1"/>
  </w:num>
  <w:num w:numId="3">
    <w:abstractNumId w:val="1"/>
    <w:lvlOverride w:ilvl="0">
      <w:startOverride w:val="2"/>
    </w:lvlOverride>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0" w:line="240" w:lineRule="auto"/>
      <w:ind w:left="72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